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DOES OBESITY IMPACT THE RECURRENCE OF ATRIAL FIBRILLATION AFTER CRYOABLATION USING THE ARCTIC FRONT ADVANCE CATHETER? </w:t>
      </w:r>
    </w:p>
    <w:p w:rsidR="00B921ED" w:rsidRDefault="00B921ED" w:rsidP="00893807">
      <w:pPr>
        <w:widowControl w:val="0"/>
        <w:autoSpaceDE w:val="0"/>
        <w:autoSpaceDN w:val="0"/>
        <w:adjustRightInd w:val="0"/>
      </w:pPr>
      <w:r w:rsidRPr="00893807">
        <w:rPr>
          <w:b/>
          <w:bCs/>
          <w:u w:val="single"/>
        </w:rPr>
        <w:t>A</w:t>
      </w:r>
      <w:r w:rsidR="00893807" w:rsidRPr="00893807">
        <w:rPr>
          <w:b/>
          <w:bCs/>
          <w:u w:val="single"/>
        </w:rPr>
        <w:t>.</w:t>
      </w:r>
      <w:r w:rsidRPr="00893807">
        <w:rPr>
          <w:b/>
          <w:bCs/>
          <w:u w:val="single"/>
        </w:rPr>
        <w:t xml:space="preserve"> Avezbadalov</w:t>
      </w:r>
      <w:r w:rsidR="00893807" w:rsidRPr="00893807">
        <w:rPr>
          <w:b/>
          <w:bCs/>
          <w:u w:val="single"/>
          <w:vertAlign w:val="superscript"/>
        </w:rPr>
        <w:t>1</w:t>
      </w:r>
      <w:r>
        <w:t>, S</w:t>
      </w:r>
      <w:r w:rsidR="00893807">
        <w:t>.</w:t>
      </w:r>
      <w:r>
        <w:t xml:space="preserve"> Pollack</w:t>
      </w:r>
      <w:r w:rsidR="00893807" w:rsidRPr="00893807">
        <w:rPr>
          <w:vertAlign w:val="superscript"/>
        </w:rPr>
        <w:t>2</w:t>
      </w:r>
      <w:r>
        <w:t>, A</w:t>
      </w:r>
      <w:r w:rsidR="00893807">
        <w:t>.</w:t>
      </w:r>
      <w:r>
        <w:t>F</w:t>
      </w:r>
      <w:r w:rsidR="00893807">
        <w:t>.</w:t>
      </w:r>
      <w:r>
        <w:t xml:space="preserve"> Osman</w:t>
      </w:r>
      <w:r w:rsidR="00893807" w:rsidRPr="00893807">
        <w:rPr>
          <w:vertAlign w:val="superscript"/>
        </w:rPr>
        <w:t>1</w:t>
      </w:r>
    </w:p>
    <w:p w:rsidR="00893807" w:rsidRDefault="00893807" w:rsidP="00893807">
      <w:pPr>
        <w:widowControl w:val="0"/>
        <w:autoSpaceDE w:val="0"/>
        <w:autoSpaceDN w:val="0"/>
        <w:adjustRightInd w:val="0"/>
        <w:rPr>
          <w:color w:val="000000"/>
        </w:rPr>
      </w:pPr>
      <w:r>
        <w:rPr>
          <w:color w:val="000000"/>
        </w:rPr>
        <w:t xml:space="preserve">1. </w:t>
      </w:r>
      <w:r w:rsidR="00B921ED">
        <w:rPr>
          <w:color w:val="000000"/>
        </w:rPr>
        <w:t>The Heart Center of Excellence, NOVA Southeastern University, Fort Lauderdale, FL, USA</w:t>
      </w:r>
    </w:p>
    <w:p w:rsidR="00893807" w:rsidRDefault="00893807" w:rsidP="00893807">
      <w:pPr>
        <w:widowControl w:val="0"/>
        <w:autoSpaceDE w:val="0"/>
        <w:autoSpaceDN w:val="0"/>
        <w:adjustRightInd w:val="0"/>
        <w:rPr>
          <w:color w:val="000000"/>
        </w:rPr>
      </w:pPr>
      <w:r>
        <w:rPr>
          <w:color w:val="000000"/>
        </w:rPr>
        <w:t xml:space="preserve">2. </w:t>
      </w:r>
      <w:r w:rsidR="00B921ED">
        <w:rPr>
          <w:color w:val="000000"/>
        </w:rPr>
        <w:t>St. John's University, New York, NY, USA</w:t>
      </w:r>
    </w:p>
    <w:p w:rsidR="00B921ED" w:rsidRDefault="00B921ED">
      <w:pPr>
        <w:widowControl w:val="0"/>
        <w:autoSpaceDE w:val="0"/>
        <w:autoSpaceDN w:val="0"/>
        <w:adjustRightInd w:val="0"/>
      </w:pPr>
    </w:p>
    <w:p w:rsidR="00893807" w:rsidRDefault="00B921ED">
      <w:pPr>
        <w:widowControl w:val="0"/>
        <w:autoSpaceDE w:val="0"/>
        <w:autoSpaceDN w:val="0"/>
        <w:adjustRightInd w:val="0"/>
        <w:jc w:val="both"/>
      </w:pPr>
      <w:r w:rsidRPr="00893807">
        <w:rPr>
          <w:i/>
          <w:iCs/>
        </w:rPr>
        <w:t>Objective</w:t>
      </w:r>
      <w:r>
        <w:t xml:space="preserve">: The Arctic Front Advance </w:t>
      </w:r>
      <w:proofErr w:type="spellStart"/>
      <w:r>
        <w:t>cryoablation</w:t>
      </w:r>
      <w:proofErr w:type="spellEnd"/>
      <w:r>
        <w:t xml:space="preserve"> catheter has become widely used for the successful treatment of atrial fibrillation. Atrial fibrillation is more difficult to treat in patients with obesity due to increased pulmonary pressures and onset of heart failure. We sought to evaluate the recurrence of atrial fibrillation in the obese population after </w:t>
      </w:r>
      <w:proofErr w:type="spellStart"/>
      <w:r>
        <w:t>cryoablation</w:t>
      </w:r>
      <w:proofErr w:type="spellEnd"/>
      <w:r>
        <w:t xml:space="preserve"> at our urban medical center. </w:t>
      </w:r>
    </w:p>
    <w:p w:rsidR="00893807" w:rsidRDefault="00B921ED">
      <w:pPr>
        <w:widowControl w:val="0"/>
        <w:autoSpaceDE w:val="0"/>
        <w:autoSpaceDN w:val="0"/>
        <w:adjustRightInd w:val="0"/>
        <w:jc w:val="both"/>
      </w:pPr>
      <w:r w:rsidRPr="00893807">
        <w:rPr>
          <w:i/>
          <w:iCs/>
        </w:rPr>
        <w:t>Methods</w:t>
      </w:r>
      <w:r>
        <w:t>: This is a single center retrospective analysis of all patient</w:t>
      </w:r>
      <w:r w:rsidR="00893807">
        <w:t>s</w:t>
      </w:r>
      <w:r>
        <w:t xml:space="preserve"> who were treated for paroxysmal atrial fibrillation with the Arctic Front Advance </w:t>
      </w:r>
      <w:proofErr w:type="spellStart"/>
      <w:r>
        <w:t>cryoablation</w:t>
      </w:r>
      <w:proofErr w:type="spellEnd"/>
      <w:r>
        <w:t xml:space="preserve"> catheter at our medical center between September 2012 and October 2014. Patients with a body mass index (BMI) greater than or equal to thirty were in the </w:t>
      </w:r>
      <w:proofErr w:type="gramStart"/>
      <w:r>
        <w:t>Obese</w:t>
      </w:r>
      <w:proofErr w:type="gramEnd"/>
      <w:r>
        <w:t xml:space="preserve"> group and less than thirty were in the Non-Obese group. Patients were followed for six months to monitor for recurrence of atrial fibrillation using electrocardiograms and </w:t>
      </w:r>
      <w:proofErr w:type="spellStart"/>
      <w:r>
        <w:t>holter</w:t>
      </w:r>
      <w:proofErr w:type="spellEnd"/>
      <w:r>
        <w:t xml:space="preserve"> monitors (Table 1). Patients who did not follow up for at least six months were excluded.</w:t>
      </w:r>
    </w:p>
    <w:p w:rsidR="00893807" w:rsidRDefault="00B921ED">
      <w:pPr>
        <w:widowControl w:val="0"/>
        <w:autoSpaceDE w:val="0"/>
        <w:autoSpaceDN w:val="0"/>
        <w:adjustRightInd w:val="0"/>
        <w:jc w:val="both"/>
      </w:pPr>
      <w:r w:rsidRPr="00893807">
        <w:rPr>
          <w:i/>
          <w:iCs/>
        </w:rPr>
        <w:t>Results</w:t>
      </w:r>
      <w:r>
        <w:t>: (Table 1)</w:t>
      </w:r>
    </w:p>
    <w:p w:rsidR="00B921ED" w:rsidRDefault="00B921ED">
      <w:pPr>
        <w:widowControl w:val="0"/>
        <w:autoSpaceDE w:val="0"/>
        <w:autoSpaceDN w:val="0"/>
        <w:adjustRightInd w:val="0"/>
        <w:jc w:val="both"/>
      </w:pPr>
      <w:r w:rsidRPr="00893807">
        <w:rPr>
          <w:i/>
          <w:iCs/>
        </w:rPr>
        <w:t>Conclusion</w:t>
      </w:r>
      <w:r>
        <w:t xml:space="preserve">: We found no significant difference between the Obese and Non-Obese groups in the recurrence of paroxysmal atrial fibrillation after successful treatment using the second generation </w:t>
      </w:r>
      <w:proofErr w:type="spellStart"/>
      <w:r>
        <w:t>cryoablation</w:t>
      </w:r>
      <w:proofErr w:type="spellEnd"/>
      <w:r>
        <w:t xml:space="preserve"> catheter.</w:t>
      </w:r>
    </w:p>
    <w:p w:rsidR="00B921ED" w:rsidRDefault="00B921ED">
      <w:pPr>
        <w:widowControl w:val="0"/>
        <w:autoSpaceDE w:val="0"/>
        <w:autoSpaceDN w:val="0"/>
        <w:adjustRightInd w:val="0"/>
      </w:pPr>
    </w:p>
    <w:p w:rsidR="00893807" w:rsidRDefault="00893807" w:rsidP="00893807">
      <w:r>
        <w:t xml:space="preserve">Results: </w:t>
      </w:r>
    </w:p>
    <w:tbl>
      <w:tblPr>
        <w:tblW w:w="863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951"/>
        <w:gridCol w:w="1539"/>
        <w:gridCol w:w="801"/>
        <w:gridCol w:w="999"/>
        <w:gridCol w:w="1341"/>
      </w:tblGrid>
      <w:tr w:rsidR="00893807" w:rsidTr="005A6B74">
        <w:trPr>
          <w:trHeight w:val="1046"/>
          <w:tblCellSpacing w:w="20" w:type="dxa"/>
        </w:trPr>
        <w:tc>
          <w:tcPr>
            <w:tcW w:w="3891" w:type="dxa"/>
          </w:tcPr>
          <w:p w:rsidR="00893807" w:rsidRPr="00E972FD" w:rsidRDefault="00893807" w:rsidP="005A6B74">
            <w:pPr>
              <w:rPr>
                <w:rFonts w:asciiTheme="minorHAnsi" w:eastAsiaTheme="minorHAnsi" w:hAnsiTheme="minorHAnsi" w:cstheme="minorBidi"/>
              </w:rPr>
            </w:pPr>
            <w:r w:rsidRPr="00E972FD">
              <w:rPr>
                <w:rFonts w:asciiTheme="minorHAnsi" w:eastAsiaTheme="minorHAnsi" w:hAnsiTheme="minorHAnsi" w:cstheme="minorBidi"/>
              </w:rPr>
              <w:t>Total Number of Patients</w:t>
            </w:r>
          </w:p>
          <w:p w:rsidR="00893807" w:rsidRPr="00E972FD" w:rsidRDefault="00893807" w:rsidP="005A6B74">
            <w:pPr>
              <w:rPr>
                <w:rFonts w:asciiTheme="minorHAnsi" w:eastAsiaTheme="minorHAnsi" w:hAnsiTheme="minorHAnsi" w:cstheme="minorBidi"/>
              </w:rPr>
            </w:pPr>
            <w:r w:rsidRPr="00E972FD">
              <w:rPr>
                <w:rFonts w:asciiTheme="minorHAnsi" w:eastAsiaTheme="minorHAnsi" w:hAnsiTheme="minorHAnsi" w:cstheme="minorBidi"/>
              </w:rPr>
              <w:t>N = 87</w:t>
            </w:r>
          </w:p>
        </w:tc>
        <w:tc>
          <w:tcPr>
            <w:tcW w:w="2300" w:type="dxa"/>
            <w:gridSpan w:val="2"/>
          </w:tcPr>
          <w:p w:rsidR="00893807" w:rsidRPr="00E972FD" w:rsidRDefault="00893807" w:rsidP="005A6B74">
            <w:pPr>
              <w:rPr>
                <w:rFonts w:asciiTheme="minorHAnsi" w:eastAsiaTheme="minorHAnsi" w:hAnsiTheme="minorHAnsi" w:cstheme="minorBidi"/>
              </w:rPr>
            </w:pPr>
            <w:r w:rsidRPr="00E972FD">
              <w:rPr>
                <w:rFonts w:asciiTheme="minorHAnsi" w:eastAsiaTheme="minorHAnsi" w:hAnsiTheme="minorHAnsi" w:cstheme="minorBidi"/>
              </w:rPr>
              <w:t>Non-Obese</w:t>
            </w:r>
          </w:p>
          <w:p w:rsidR="00893807" w:rsidRPr="00E972FD" w:rsidRDefault="00893807" w:rsidP="005A6B74">
            <w:pPr>
              <w:rPr>
                <w:rFonts w:asciiTheme="minorHAnsi" w:eastAsiaTheme="minorHAnsi" w:hAnsiTheme="minorHAnsi" w:cstheme="minorBidi"/>
              </w:rPr>
            </w:pPr>
            <w:r w:rsidRPr="00E972FD">
              <w:rPr>
                <w:rFonts w:asciiTheme="minorHAnsi" w:eastAsiaTheme="minorHAnsi" w:hAnsiTheme="minorHAnsi" w:cstheme="minorBidi"/>
              </w:rPr>
              <w:t xml:space="preserve">BMI </w:t>
            </w:r>
            <w:r w:rsidRPr="00E972FD">
              <w:rPr>
                <w:rFonts w:ascii="Helvetica" w:eastAsiaTheme="minorHAnsi" w:hAnsi="Helvetica" w:cs="Helvetica"/>
                <w:color w:val="1C1C1C"/>
                <w:sz w:val="28"/>
                <w:szCs w:val="28"/>
              </w:rPr>
              <w:t xml:space="preserve">&lt; </w:t>
            </w:r>
            <w:r w:rsidRPr="00E972FD">
              <w:rPr>
                <w:rFonts w:asciiTheme="minorHAnsi" w:eastAsiaTheme="minorHAnsi" w:hAnsiTheme="minorHAnsi" w:cstheme="minorBidi"/>
              </w:rPr>
              <w:t>30    (N = 54)</w:t>
            </w:r>
          </w:p>
        </w:tc>
        <w:tc>
          <w:tcPr>
            <w:tcW w:w="2280" w:type="dxa"/>
            <w:gridSpan w:val="2"/>
          </w:tcPr>
          <w:p w:rsidR="00893807" w:rsidRPr="00E972FD" w:rsidRDefault="00893807" w:rsidP="005A6B74">
            <w:pPr>
              <w:rPr>
                <w:rFonts w:asciiTheme="minorHAnsi" w:eastAsiaTheme="minorHAnsi" w:hAnsiTheme="minorHAnsi" w:cstheme="minorBidi"/>
              </w:rPr>
            </w:pPr>
            <w:r w:rsidRPr="00E972FD">
              <w:rPr>
                <w:rFonts w:asciiTheme="minorHAnsi" w:eastAsiaTheme="minorHAnsi" w:hAnsiTheme="minorHAnsi" w:cstheme="minorBidi"/>
              </w:rPr>
              <w:t xml:space="preserve">Obese </w:t>
            </w:r>
          </w:p>
          <w:p w:rsidR="00893807" w:rsidRPr="00E972FD" w:rsidRDefault="00893807" w:rsidP="005A6B74">
            <w:pPr>
              <w:rPr>
                <w:rFonts w:asciiTheme="minorHAnsi" w:eastAsiaTheme="minorHAnsi" w:hAnsiTheme="minorHAnsi" w:cstheme="minorBidi"/>
              </w:rPr>
            </w:pPr>
            <w:r w:rsidRPr="00E972FD">
              <w:rPr>
                <w:rFonts w:asciiTheme="minorHAnsi" w:eastAsiaTheme="minorHAnsi" w:hAnsiTheme="minorHAnsi" w:cstheme="minorBidi"/>
              </w:rPr>
              <w:t xml:space="preserve">BMI </w:t>
            </w:r>
            <w:r w:rsidRPr="00E972FD">
              <w:rPr>
                <w:rFonts w:ascii="Helvetica" w:eastAsiaTheme="minorHAnsi" w:hAnsi="Helvetica" w:cs="Helvetica"/>
                <w:color w:val="1C1C1C"/>
                <w:sz w:val="28"/>
                <w:szCs w:val="28"/>
              </w:rPr>
              <w:t xml:space="preserve">≥ </w:t>
            </w:r>
            <w:r w:rsidRPr="00E972FD">
              <w:rPr>
                <w:rFonts w:asciiTheme="minorHAnsi" w:eastAsiaTheme="minorHAnsi" w:hAnsiTheme="minorHAnsi" w:cstheme="minorBidi"/>
              </w:rPr>
              <w:t>30    (N = 33)</w:t>
            </w:r>
          </w:p>
        </w:tc>
      </w:tr>
      <w:tr w:rsidR="00893807" w:rsidTr="005A6B74">
        <w:trPr>
          <w:tblCellSpacing w:w="20" w:type="dxa"/>
        </w:trPr>
        <w:tc>
          <w:tcPr>
            <w:tcW w:w="3891" w:type="dxa"/>
          </w:tcPr>
          <w:p w:rsidR="00893807" w:rsidRPr="00E972FD" w:rsidRDefault="00893807" w:rsidP="005A6B74">
            <w:pPr>
              <w:rPr>
                <w:rFonts w:asciiTheme="minorHAnsi" w:eastAsiaTheme="minorHAnsi" w:hAnsiTheme="minorHAnsi" w:cstheme="minorBidi"/>
              </w:rPr>
            </w:pPr>
            <w:r w:rsidRPr="00E972FD">
              <w:rPr>
                <w:rFonts w:asciiTheme="minorHAnsi" w:eastAsiaTheme="minorHAnsi" w:hAnsiTheme="minorHAnsi" w:cstheme="minorBidi"/>
              </w:rPr>
              <w:t>Number of Patients in Sinus Rhythm at 6 Months</w:t>
            </w:r>
          </w:p>
        </w:tc>
        <w:tc>
          <w:tcPr>
            <w:tcW w:w="2300" w:type="dxa"/>
            <w:gridSpan w:val="2"/>
          </w:tcPr>
          <w:p w:rsidR="00893807" w:rsidRPr="00E972FD" w:rsidRDefault="00893807" w:rsidP="005A6B74">
            <w:pPr>
              <w:rPr>
                <w:rFonts w:asciiTheme="minorHAnsi" w:eastAsiaTheme="minorHAnsi" w:hAnsiTheme="minorHAnsi" w:cstheme="minorBidi"/>
              </w:rPr>
            </w:pPr>
            <w:proofErr w:type="gramStart"/>
            <w:r w:rsidRPr="00E972FD">
              <w:rPr>
                <w:rFonts w:asciiTheme="minorHAnsi" w:eastAsiaTheme="minorHAnsi" w:hAnsiTheme="minorHAnsi" w:cstheme="minorBidi"/>
              </w:rPr>
              <w:t>43  (</w:t>
            </w:r>
            <w:proofErr w:type="gramEnd"/>
            <w:r w:rsidRPr="00E972FD">
              <w:rPr>
                <w:rFonts w:asciiTheme="minorHAnsi" w:eastAsiaTheme="minorHAnsi" w:hAnsiTheme="minorHAnsi" w:cstheme="minorBidi"/>
              </w:rPr>
              <w:t>79.6%)</w:t>
            </w:r>
          </w:p>
        </w:tc>
        <w:tc>
          <w:tcPr>
            <w:tcW w:w="2280" w:type="dxa"/>
            <w:gridSpan w:val="2"/>
          </w:tcPr>
          <w:p w:rsidR="00893807" w:rsidRPr="00E972FD" w:rsidRDefault="00893807" w:rsidP="005A6B74">
            <w:pPr>
              <w:rPr>
                <w:rFonts w:asciiTheme="minorHAnsi" w:eastAsiaTheme="minorHAnsi" w:hAnsiTheme="minorHAnsi" w:cstheme="minorBidi"/>
              </w:rPr>
            </w:pPr>
            <w:proofErr w:type="gramStart"/>
            <w:r w:rsidRPr="00E972FD">
              <w:rPr>
                <w:rFonts w:asciiTheme="minorHAnsi" w:eastAsiaTheme="minorHAnsi" w:hAnsiTheme="minorHAnsi" w:cstheme="minorBidi"/>
              </w:rPr>
              <w:t>29  (</w:t>
            </w:r>
            <w:proofErr w:type="gramEnd"/>
            <w:r w:rsidRPr="00E972FD">
              <w:rPr>
                <w:rFonts w:asciiTheme="minorHAnsi" w:eastAsiaTheme="minorHAnsi" w:hAnsiTheme="minorHAnsi" w:cstheme="minorBidi"/>
              </w:rPr>
              <w:t>87.9%)</w:t>
            </w:r>
          </w:p>
        </w:tc>
      </w:tr>
      <w:tr w:rsidR="00893807" w:rsidTr="005A6B74">
        <w:trPr>
          <w:tblCellSpacing w:w="20" w:type="dxa"/>
        </w:trPr>
        <w:tc>
          <w:tcPr>
            <w:tcW w:w="3891" w:type="dxa"/>
          </w:tcPr>
          <w:p w:rsidR="00893807" w:rsidRPr="00E972FD" w:rsidRDefault="00893807" w:rsidP="005A6B74">
            <w:pPr>
              <w:rPr>
                <w:rFonts w:asciiTheme="minorHAnsi" w:eastAsiaTheme="minorHAnsi" w:hAnsiTheme="minorHAnsi" w:cstheme="minorBidi"/>
              </w:rPr>
            </w:pPr>
            <w:r w:rsidRPr="00E972FD">
              <w:rPr>
                <w:rFonts w:asciiTheme="minorHAnsi" w:eastAsiaTheme="minorHAnsi" w:hAnsiTheme="minorHAnsi" w:cstheme="minorBidi"/>
              </w:rPr>
              <w:t>Number of Patients with Recurrent Atrial Fibril</w:t>
            </w:r>
            <w:bookmarkStart w:id="0" w:name="_GoBack"/>
            <w:bookmarkEnd w:id="0"/>
            <w:r w:rsidRPr="00E972FD">
              <w:rPr>
                <w:rFonts w:asciiTheme="minorHAnsi" w:eastAsiaTheme="minorHAnsi" w:hAnsiTheme="minorHAnsi" w:cstheme="minorBidi"/>
              </w:rPr>
              <w:t>lation at 6 Months</w:t>
            </w:r>
          </w:p>
        </w:tc>
        <w:tc>
          <w:tcPr>
            <w:tcW w:w="2300" w:type="dxa"/>
            <w:gridSpan w:val="2"/>
          </w:tcPr>
          <w:p w:rsidR="00893807" w:rsidRPr="00E972FD" w:rsidRDefault="00893807" w:rsidP="005A6B74">
            <w:pPr>
              <w:rPr>
                <w:rFonts w:asciiTheme="minorHAnsi" w:eastAsiaTheme="minorHAnsi" w:hAnsiTheme="minorHAnsi" w:cstheme="minorBidi"/>
              </w:rPr>
            </w:pPr>
            <w:proofErr w:type="gramStart"/>
            <w:r w:rsidRPr="00E972FD">
              <w:rPr>
                <w:rFonts w:asciiTheme="minorHAnsi" w:eastAsiaTheme="minorHAnsi" w:hAnsiTheme="minorHAnsi" w:cstheme="minorBidi"/>
              </w:rPr>
              <w:t>11  (</w:t>
            </w:r>
            <w:proofErr w:type="gramEnd"/>
            <w:r w:rsidRPr="00E972FD">
              <w:rPr>
                <w:rFonts w:asciiTheme="minorHAnsi" w:eastAsiaTheme="minorHAnsi" w:hAnsiTheme="minorHAnsi" w:cstheme="minorBidi"/>
              </w:rPr>
              <w:t>20.4%)</w:t>
            </w:r>
          </w:p>
        </w:tc>
        <w:tc>
          <w:tcPr>
            <w:tcW w:w="2280" w:type="dxa"/>
            <w:gridSpan w:val="2"/>
          </w:tcPr>
          <w:p w:rsidR="00893807" w:rsidRPr="00E972FD" w:rsidRDefault="00893807" w:rsidP="005A6B74">
            <w:pPr>
              <w:rPr>
                <w:rFonts w:asciiTheme="minorHAnsi" w:eastAsiaTheme="minorHAnsi" w:hAnsiTheme="minorHAnsi" w:cstheme="minorBidi"/>
              </w:rPr>
            </w:pPr>
            <w:proofErr w:type="gramStart"/>
            <w:r w:rsidRPr="00E972FD">
              <w:rPr>
                <w:rFonts w:asciiTheme="minorHAnsi" w:eastAsiaTheme="minorHAnsi" w:hAnsiTheme="minorHAnsi" w:cstheme="minorBidi"/>
              </w:rPr>
              <w:t>4  (</w:t>
            </w:r>
            <w:proofErr w:type="gramEnd"/>
            <w:r w:rsidRPr="00E972FD">
              <w:rPr>
                <w:rFonts w:asciiTheme="minorHAnsi" w:eastAsiaTheme="minorHAnsi" w:hAnsiTheme="minorHAnsi" w:cstheme="minorBidi"/>
              </w:rPr>
              <w:t>12.1%)</w:t>
            </w:r>
          </w:p>
        </w:tc>
      </w:tr>
      <w:tr w:rsidR="00893807" w:rsidTr="005A6B74">
        <w:trPr>
          <w:tblCellSpacing w:w="20" w:type="dxa"/>
        </w:trPr>
        <w:tc>
          <w:tcPr>
            <w:tcW w:w="5430" w:type="dxa"/>
            <w:gridSpan w:val="2"/>
          </w:tcPr>
          <w:p w:rsidR="00893807" w:rsidRPr="00E972FD" w:rsidRDefault="00893807" w:rsidP="005A6B74">
            <w:pPr>
              <w:rPr>
                <w:rFonts w:asciiTheme="minorHAnsi" w:eastAsiaTheme="minorHAnsi" w:hAnsiTheme="minorHAnsi" w:cstheme="minorBidi"/>
              </w:rPr>
            </w:pPr>
          </w:p>
        </w:tc>
        <w:tc>
          <w:tcPr>
            <w:tcW w:w="1760" w:type="dxa"/>
            <w:gridSpan w:val="2"/>
          </w:tcPr>
          <w:p w:rsidR="00893807" w:rsidRPr="00E972FD" w:rsidRDefault="00893807" w:rsidP="005A6B74">
            <w:pPr>
              <w:rPr>
                <w:rFonts w:asciiTheme="minorHAnsi" w:eastAsiaTheme="minorHAnsi" w:hAnsiTheme="minorHAnsi" w:cstheme="minorBidi"/>
              </w:rPr>
            </w:pPr>
            <w:r w:rsidRPr="00E972FD">
              <w:rPr>
                <w:rFonts w:asciiTheme="minorHAnsi" w:eastAsiaTheme="minorHAnsi" w:hAnsiTheme="minorHAnsi" w:cstheme="minorBidi"/>
              </w:rPr>
              <w:t>p value = 0.32</w:t>
            </w:r>
          </w:p>
        </w:tc>
        <w:tc>
          <w:tcPr>
            <w:tcW w:w="1281" w:type="dxa"/>
          </w:tcPr>
          <w:p w:rsidR="00893807" w:rsidRPr="00E972FD" w:rsidRDefault="00893807" w:rsidP="005A6B74">
            <w:pPr>
              <w:rPr>
                <w:rFonts w:asciiTheme="minorHAnsi" w:eastAsiaTheme="minorHAnsi" w:hAnsiTheme="minorHAnsi" w:cstheme="minorBidi"/>
              </w:rPr>
            </w:pPr>
          </w:p>
        </w:tc>
      </w:tr>
    </w:tbl>
    <w:p w:rsidR="00893807" w:rsidRPr="00446736" w:rsidRDefault="00893807" w:rsidP="00893807">
      <w:pPr>
        <w:rPr>
          <w:b/>
        </w:rPr>
      </w:pPr>
      <w:r>
        <w:rPr>
          <w:b/>
        </w:rPr>
        <w:t>Table</w:t>
      </w:r>
      <w:r w:rsidRPr="00446736">
        <w:rPr>
          <w:b/>
        </w:rPr>
        <w:t xml:space="preserve"> 1</w:t>
      </w:r>
      <w:r w:rsidRPr="00446736">
        <w:rPr>
          <w:b/>
        </w:rPr>
        <w:tab/>
      </w:r>
      <w:r w:rsidRPr="00446736">
        <w:rPr>
          <w:b/>
        </w:rPr>
        <w:tab/>
      </w:r>
      <w:r w:rsidRPr="00446736">
        <w:rPr>
          <w:b/>
        </w:rPr>
        <w:tab/>
      </w:r>
      <w:r w:rsidRPr="00446736">
        <w:rPr>
          <w:b/>
        </w:rPr>
        <w:tab/>
      </w:r>
      <w:r w:rsidRPr="00446736">
        <w:rPr>
          <w:b/>
        </w:rPr>
        <w:tab/>
      </w:r>
      <w:r w:rsidRPr="00446736">
        <w:rPr>
          <w:b/>
        </w:rPr>
        <w:tab/>
      </w:r>
    </w:p>
    <w:p w:rsidR="00893807" w:rsidRDefault="00893807">
      <w:pPr>
        <w:widowControl w:val="0"/>
        <w:autoSpaceDE w:val="0"/>
        <w:autoSpaceDN w:val="0"/>
        <w:adjustRightInd w:val="0"/>
      </w:pPr>
    </w:p>
    <w:sectPr w:rsidR="00893807">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87" w:rsidRDefault="00367E87" w:rsidP="00893807">
      <w:r>
        <w:separator/>
      </w:r>
    </w:p>
  </w:endnote>
  <w:endnote w:type="continuationSeparator" w:id="0">
    <w:p w:rsidR="00367E87" w:rsidRDefault="00367E87" w:rsidP="0089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87" w:rsidRDefault="00367E87" w:rsidP="00893807">
      <w:r>
        <w:separator/>
      </w:r>
    </w:p>
  </w:footnote>
  <w:footnote w:type="continuationSeparator" w:id="0">
    <w:p w:rsidR="00367E87" w:rsidRDefault="00367E87" w:rsidP="00893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07" w:rsidRDefault="00893807" w:rsidP="00893807">
    <w:pPr>
      <w:pStyle w:val="Header"/>
    </w:pPr>
    <w:r>
      <w:t xml:space="preserve">1216      either     Cat: </w:t>
    </w:r>
    <w:r>
      <w:rPr>
        <w:rFonts w:ascii="Arial" w:hAnsi="Arial" w:cs="Arial"/>
        <w:color w:val="222222"/>
        <w:sz w:val="19"/>
        <w:szCs w:val="19"/>
        <w:shd w:val="clear" w:color="auto" w:fill="FFFFFF"/>
      </w:rPr>
      <w:t>Arrhythmias and antiarrhythmic drug therapy - basic &amp; clinical</w:t>
    </w:r>
  </w:p>
  <w:p w:rsidR="00893807" w:rsidRDefault="00893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67E87"/>
    <w:rsid w:val="00447B2F"/>
    <w:rsid w:val="00893807"/>
    <w:rsid w:val="00B04A24"/>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118BF0-9EC2-424A-911E-A1526C38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807"/>
    <w:pPr>
      <w:tabs>
        <w:tab w:val="center" w:pos="4680"/>
        <w:tab w:val="right" w:pos="9360"/>
      </w:tabs>
    </w:pPr>
  </w:style>
  <w:style w:type="character" w:customStyle="1" w:styleId="HeaderChar">
    <w:name w:val="Header Char"/>
    <w:basedOn w:val="DefaultParagraphFont"/>
    <w:link w:val="Header"/>
    <w:uiPriority w:val="99"/>
    <w:rsid w:val="00893807"/>
    <w:rPr>
      <w:sz w:val="24"/>
      <w:szCs w:val="24"/>
    </w:rPr>
  </w:style>
  <w:style w:type="paragraph" w:styleId="Footer">
    <w:name w:val="footer"/>
    <w:basedOn w:val="Normal"/>
    <w:link w:val="FooterChar"/>
    <w:uiPriority w:val="99"/>
    <w:unhideWhenUsed/>
    <w:rsid w:val="00893807"/>
    <w:pPr>
      <w:tabs>
        <w:tab w:val="center" w:pos="4680"/>
        <w:tab w:val="right" w:pos="9360"/>
      </w:tabs>
    </w:pPr>
  </w:style>
  <w:style w:type="character" w:customStyle="1" w:styleId="FooterChar">
    <w:name w:val="Footer Char"/>
    <w:basedOn w:val="DefaultParagraphFont"/>
    <w:link w:val="Footer"/>
    <w:uiPriority w:val="99"/>
    <w:rsid w:val="00893807"/>
    <w:rPr>
      <w:sz w:val="24"/>
      <w:szCs w:val="24"/>
    </w:rPr>
  </w:style>
  <w:style w:type="paragraph" w:styleId="BalloonText">
    <w:name w:val="Balloon Text"/>
    <w:basedOn w:val="Normal"/>
    <w:link w:val="BalloonTextChar"/>
    <w:uiPriority w:val="99"/>
    <w:semiHidden/>
    <w:unhideWhenUsed/>
    <w:rsid w:val="00893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2016-03-06T20:20:00Z</cp:lastPrinted>
  <dcterms:created xsi:type="dcterms:W3CDTF">2016-03-06T20:13:00Z</dcterms:created>
  <dcterms:modified xsi:type="dcterms:W3CDTF">2016-03-06T20:25:00Z</dcterms:modified>
</cp:coreProperties>
</file>